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D1" w:rsidRDefault="00FA658E" w:rsidP="00456D5F">
      <w:pPr>
        <w:pStyle w:val="Heading2"/>
      </w:pPr>
      <w:r>
        <w:t>Needle Exchange Pharmacy Service Use Report</w:t>
      </w:r>
    </w:p>
    <w:p w:rsidR="00A710AA" w:rsidRPr="00A710AA" w:rsidRDefault="00FA658E" w:rsidP="00C73D30">
      <w:pPr>
        <w:pStyle w:val="Heading2"/>
        <w:rPr>
          <w:sz w:val="22"/>
        </w:rPr>
      </w:pPr>
      <w:r>
        <w:rPr>
          <w:sz w:val="22"/>
        </w:rPr>
        <w:t>Background</w:t>
      </w:r>
    </w:p>
    <w:p w:rsidR="00FA658E" w:rsidRDefault="00FA658E" w:rsidP="00A710AA">
      <w:pPr>
        <w:ind w:right="20"/>
        <w:rPr>
          <w:rFonts w:cs="Arial"/>
        </w:rPr>
      </w:pPr>
      <w:r>
        <w:rPr>
          <w:rFonts w:cs="Arial"/>
        </w:rPr>
        <w:t>In order to ensure that the most appropriate community pharmacies are being used for the needle exchange service, Hertfordshire L</w:t>
      </w:r>
      <w:r w:rsidR="00492635">
        <w:rPr>
          <w:rFonts w:cs="Arial"/>
        </w:rPr>
        <w:t xml:space="preserve">PC undertook a survey of all community pharmacies in Hertfordshire. </w:t>
      </w:r>
    </w:p>
    <w:p w:rsidR="00FA658E" w:rsidRDefault="00FA658E" w:rsidP="00A710AA">
      <w:pPr>
        <w:ind w:right="20"/>
        <w:rPr>
          <w:rFonts w:cs="Arial"/>
        </w:rPr>
      </w:pPr>
      <w:r>
        <w:rPr>
          <w:rFonts w:cs="Arial"/>
        </w:rPr>
        <w:t>There are 242 pharmacies that could potentially provide this service in Hertfordshire although recognising that this should be based on patient need and many of these community pharmacies will not have the need to provide needle exchange services. There are 28 community pharmacies currently providing the service.</w:t>
      </w:r>
      <w:r w:rsidR="00492635">
        <w:rPr>
          <w:rFonts w:cs="Arial"/>
        </w:rPr>
        <w:t xml:space="preserve"> Full details about the current service are available on the LPC website: </w:t>
      </w:r>
      <w:hyperlink r:id="rId8" w:history="1">
        <w:r w:rsidR="00492635" w:rsidRPr="008907E6">
          <w:rPr>
            <w:rStyle w:val="Hyperlink"/>
            <w:rFonts w:cs="Arial"/>
          </w:rPr>
          <w:t>http://www.hertslpc.org.uk/public-health/commissioned-services/drugs-alcohol-spectrum-cri/</w:t>
        </w:r>
      </w:hyperlink>
    </w:p>
    <w:p w:rsidR="00FA658E" w:rsidRPr="00492635" w:rsidRDefault="00492635" w:rsidP="00492635">
      <w:pPr>
        <w:spacing w:after="0"/>
        <w:ind w:right="23"/>
        <w:rPr>
          <w:rFonts w:cs="Arial"/>
          <w:b/>
        </w:rPr>
      </w:pPr>
      <w:r>
        <w:rPr>
          <w:rFonts w:cs="Arial"/>
          <w:b/>
        </w:rPr>
        <w:t>Data Collection Process</w:t>
      </w:r>
    </w:p>
    <w:p w:rsidR="00FA658E" w:rsidRDefault="00FA658E" w:rsidP="00A710AA">
      <w:pPr>
        <w:ind w:right="20"/>
        <w:rPr>
          <w:rFonts w:cs="Arial"/>
        </w:rPr>
      </w:pPr>
      <w:r>
        <w:rPr>
          <w:rFonts w:cs="Arial"/>
        </w:rPr>
        <w:t>Data collection took place over a period of 3 and a half weeks from Wednesday 27 May until Friday 19 June 2015. Every pharmacy was sent a paper copy of the</w:t>
      </w:r>
      <w:r w:rsidR="00492635">
        <w:rPr>
          <w:rFonts w:cs="Arial"/>
        </w:rPr>
        <w:t xml:space="preserve"> questionnaire (appendix one)</w:t>
      </w:r>
      <w:r>
        <w:rPr>
          <w:rFonts w:cs="Arial"/>
        </w:rPr>
        <w:t xml:space="preserve"> along with an electronic version of the questionnaire made available online.  </w:t>
      </w:r>
    </w:p>
    <w:p w:rsidR="00492635" w:rsidRDefault="00492635" w:rsidP="00492635">
      <w:pPr>
        <w:spacing w:after="0"/>
        <w:ind w:right="23"/>
        <w:rPr>
          <w:rFonts w:cs="Arial"/>
          <w:b/>
        </w:rPr>
      </w:pPr>
      <w:r>
        <w:rPr>
          <w:rFonts w:cs="Arial"/>
          <w:b/>
        </w:rPr>
        <w:t>Results</w:t>
      </w:r>
    </w:p>
    <w:p w:rsidR="00492635" w:rsidRDefault="00492635" w:rsidP="00A710AA">
      <w:pPr>
        <w:ind w:right="20"/>
        <w:rPr>
          <w:rFonts w:cs="Arial"/>
        </w:rPr>
      </w:pPr>
      <w:r>
        <w:rPr>
          <w:rFonts w:cs="Arial"/>
        </w:rPr>
        <w:t>49 (20%) community pharmacies responded to the ques</w:t>
      </w:r>
      <w:r w:rsidR="00A2065F">
        <w:rPr>
          <w:rFonts w:cs="Arial"/>
        </w:rPr>
        <w:t>tionnaire. Of these 49, nine (32%) community pharmacies of the 2</w:t>
      </w:r>
      <w:r>
        <w:rPr>
          <w:rFonts w:cs="Arial"/>
        </w:rPr>
        <w:t xml:space="preserve">8 providing the service responded. 40 (82%) community pharmacies not providing the service responded to the questionnaire. </w:t>
      </w:r>
    </w:p>
    <w:p w:rsidR="00F32066" w:rsidRDefault="00F32066" w:rsidP="00A710AA">
      <w:pPr>
        <w:ind w:right="20"/>
        <w:rPr>
          <w:rFonts w:cs="Arial"/>
        </w:rPr>
      </w:pPr>
      <w:r>
        <w:rPr>
          <w:rFonts w:cs="Arial"/>
        </w:rPr>
        <w:t>The responses were received from across Hertfordshire with representation from each locality</w:t>
      </w:r>
      <w:r w:rsidR="005029F3">
        <w:rPr>
          <w:rFonts w:cs="Arial"/>
        </w:rPr>
        <w:t xml:space="preserve"> (figure one) except one: Upper Lea Valley</w:t>
      </w:r>
      <w:r>
        <w:rPr>
          <w:rFonts w:cs="Arial"/>
        </w:rPr>
        <w:t xml:space="preserve"> (localities have been broken down according to CCG localities). </w:t>
      </w:r>
    </w:p>
    <w:p w:rsidR="005029F3" w:rsidRPr="00A7263A" w:rsidRDefault="00A7263A" w:rsidP="00A7263A">
      <w:pPr>
        <w:spacing w:after="0"/>
        <w:ind w:right="23"/>
        <w:rPr>
          <w:rFonts w:cs="Arial"/>
          <w:i/>
        </w:rPr>
      </w:pPr>
      <w:r>
        <w:rPr>
          <w:noProof/>
          <w:lang w:val="en-US"/>
        </w:rPr>
        <w:drawing>
          <wp:inline distT="0" distB="0" distL="0" distR="0" wp14:anchorId="7EC6ED03" wp14:editId="0231C24C">
            <wp:extent cx="6858000" cy="4325620"/>
            <wp:effectExtent l="0" t="0" r="0" b="177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Arial"/>
          <w:i/>
        </w:rPr>
        <w:t>Figure One.</w:t>
      </w:r>
    </w:p>
    <w:p w:rsidR="00A7263A" w:rsidRDefault="00A7263A" w:rsidP="00A7263A">
      <w:pPr>
        <w:spacing w:after="0"/>
        <w:ind w:right="23"/>
        <w:rPr>
          <w:rFonts w:cs="Arial"/>
        </w:rPr>
      </w:pPr>
    </w:p>
    <w:p w:rsidR="00860111" w:rsidRPr="00860111" w:rsidRDefault="00860111" w:rsidP="00860111">
      <w:pPr>
        <w:spacing w:after="0"/>
        <w:ind w:right="23"/>
        <w:rPr>
          <w:rFonts w:cs="Arial"/>
          <w:b/>
          <w:i/>
        </w:rPr>
      </w:pPr>
      <w:r w:rsidRPr="00860111">
        <w:rPr>
          <w:rFonts w:cs="Arial"/>
          <w:b/>
          <w:i/>
        </w:rPr>
        <w:t>Needle Exchange Service Providers</w:t>
      </w:r>
    </w:p>
    <w:p w:rsidR="00492635" w:rsidRDefault="00492635" w:rsidP="00A710AA">
      <w:pPr>
        <w:ind w:right="20"/>
        <w:rPr>
          <w:rFonts w:cs="Arial"/>
        </w:rPr>
      </w:pPr>
      <w:r>
        <w:rPr>
          <w:rFonts w:cs="Arial"/>
        </w:rPr>
        <w:t>Those providing the needle exchange service were asked three questions about whether they were aware of the claiming process</w:t>
      </w:r>
      <w:r w:rsidR="005029F3">
        <w:rPr>
          <w:rFonts w:cs="Arial"/>
        </w:rPr>
        <w:t xml:space="preserve"> (figure two</w:t>
      </w:r>
      <w:r>
        <w:rPr>
          <w:rFonts w:cs="Arial"/>
        </w:rPr>
        <w:t>), whether they knew the CRi Spectrum hub details</w:t>
      </w:r>
      <w:r w:rsidR="005029F3">
        <w:rPr>
          <w:rFonts w:cs="Arial"/>
        </w:rPr>
        <w:t xml:space="preserve"> (figure three</w:t>
      </w:r>
      <w:r>
        <w:rPr>
          <w:rFonts w:cs="Arial"/>
        </w:rPr>
        <w:t>) and how often they referred to this hub</w:t>
      </w:r>
      <w:r w:rsidR="005029F3">
        <w:rPr>
          <w:rFonts w:cs="Arial"/>
        </w:rPr>
        <w:t xml:space="preserve"> (figure four</w:t>
      </w:r>
      <w:r>
        <w:rPr>
          <w:rFonts w:cs="Arial"/>
        </w:rPr>
        <w:t>):</w:t>
      </w:r>
    </w:p>
    <w:p w:rsidR="00492635" w:rsidRDefault="00492635" w:rsidP="00492635">
      <w:pPr>
        <w:spacing w:after="0"/>
        <w:ind w:right="23"/>
        <w:rPr>
          <w:rFonts w:cs="Arial"/>
        </w:rPr>
      </w:pPr>
      <w:r>
        <w:rPr>
          <w:rFonts w:cs="Arial"/>
        </w:rPr>
        <w:t xml:space="preserve"> </w:t>
      </w:r>
      <w:r>
        <w:rPr>
          <w:noProof/>
          <w:lang w:val="en-US"/>
        </w:rPr>
        <w:drawing>
          <wp:inline distT="0" distB="0" distL="0" distR="0" wp14:anchorId="4B1F06B8" wp14:editId="65B1C013">
            <wp:extent cx="3390900" cy="23717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2635" w:rsidRDefault="005029F3" w:rsidP="00A710AA">
      <w:pPr>
        <w:ind w:right="20"/>
        <w:rPr>
          <w:rFonts w:cs="Arial"/>
        </w:rPr>
      </w:pPr>
      <w:r>
        <w:rPr>
          <w:rFonts w:cs="Arial"/>
          <w:i/>
        </w:rPr>
        <w:t>Figure Two</w:t>
      </w:r>
      <w:r w:rsidR="00492635" w:rsidRPr="00492635">
        <w:rPr>
          <w:rFonts w:cs="Arial"/>
          <w:i/>
        </w:rPr>
        <w:t>.</w:t>
      </w:r>
      <w:r w:rsidR="00492635">
        <w:rPr>
          <w:rFonts w:cs="Arial"/>
        </w:rPr>
        <w:t xml:space="preserve"> The comment stated: “</w:t>
      </w:r>
      <w:r w:rsidR="00492635" w:rsidRPr="00492635">
        <w:rPr>
          <w:rFonts w:cs="Arial"/>
        </w:rPr>
        <w:t>CRi ask for needle exchange of surgerised not on a 3 month basis and take 2-3 months to pay.</w:t>
      </w:r>
      <w:r w:rsidR="00492635">
        <w:rPr>
          <w:rFonts w:cs="Arial"/>
        </w:rPr>
        <w:t>”</w:t>
      </w:r>
    </w:p>
    <w:p w:rsidR="00492635" w:rsidRPr="00A7263A" w:rsidRDefault="00492635" w:rsidP="00A7263A">
      <w:pPr>
        <w:spacing w:after="0"/>
        <w:ind w:right="23"/>
        <w:rPr>
          <w:rFonts w:cs="Arial"/>
        </w:rPr>
      </w:pPr>
      <w:r>
        <w:rPr>
          <w:noProof/>
          <w:lang w:val="en-US"/>
        </w:rPr>
        <w:drawing>
          <wp:inline distT="0" distB="0" distL="0" distR="0" wp14:anchorId="5AB0970C" wp14:editId="359078A5">
            <wp:extent cx="3886200" cy="2624138"/>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029F3">
        <w:rPr>
          <w:rFonts w:cs="Arial"/>
          <w:i/>
        </w:rPr>
        <w:t>Figure Three</w:t>
      </w:r>
      <w:r w:rsidRPr="00492635">
        <w:rPr>
          <w:rFonts w:cs="Arial"/>
          <w:i/>
        </w:rPr>
        <w:t>.</w:t>
      </w:r>
    </w:p>
    <w:p w:rsidR="00492635" w:rsidRPr="00A7263A" w:rsidRDefault="00492635" w:rsidP="00A7263A">
      <w:pPr>
        <w:spacing w:after="0"/>
        <w:ind w:right="23"/>
        <w:rPr>
          <w:rFonts w:cs="Arial"/>
        </w:rPr>
      </w:pPr>
      <w:r>
        <w:rPr>
          <w:noProof/>
          <w:lang w:val="en-US"/>
        </w:rPr>
        <w:lastRenderedPageBreak/>
        <w:drawing>
          <wp:inline distT="0" distB="0" distL="0" distR="0" wp14:anchorId="42539429" wp14:editId="12B54FF1">
            <wp:extent cx="4848225" cy="2947988"/>
            <wp:effectExtent l="0" t="0" r="952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029F3">
        <w:rPr>
          <w:rFonts w:cs="Arial"/>
          <w:i/>
        </w:rPr>
        <w:t>Figure Four</w:t>
      </w:r>
      <w:r w:rsidRPr="00492635">
        <w:rPr>
          <w:rFonts w:cs="Arial"/>
          <w:i/>
        </w:rPr>
        <w:t>.</w:t>
      </w:r>
    </w:p>
    <w:p w:rsidR="00A7263A" w:rsidRDefault="00A7263A" w:rsidP="00A710AA">
      <w:pPr>
        <w:ind w:right="20"/>
        <w:rPr>
          <w:rFonts w:cs="Arial"/>
          <w:b/>
          <w:i/>
        </w:rPr>
      </w:pPr>
    </w:p>
    <w:p w:rsidR="00AF0051" w:rsidRDefault="00AF0051" w:rsidP="00AF0051">
      <w:pPr>
        <w:ind w:right="20"/>
        <w:rPr>
          <w:rFonts w:cs="Arial"/>
        </w:rPr>
      </w:pPr>
      <w:r>
        <w:rPr>
          <w:rFonts w:cs="Arial"/>
        </w:rPr>
        <w:t xml:space="preserve">In the free text comments one respondent praised CRi as being supportive and responsive. </w:t>
      </w:r>
    </w:p>
    <w:p w:rsidR="00AF0051" w:rsidRDefault="00AF0051" w:rsidP="00A710AA">
      <w:pPr>
        <w:ind w:right="20"/>
        <w:rPr>
          <w:rFonts w:cs="Arial"/>
        </w:rPr>
      </w:pPr>
      <w:r>
        <w:rPr>
          <w:rFonts w:cs="Arial"/>
        </w:rPr>
        <w:t>There was one comment from a provider on the service that “p</w:t>
      </w:r>
      <w:r w:rsidRPr="005E0BDB">
        <w:rPr>
          <w:rFonts w:cs="Arial"/>
        </w:rPr>
        <w:t>acks do not necessari</w:t>
      </w:r>
      <w:r>
        <w:rPr>
          <w:rFonts w:cs="Arial"/>
        </w:rPr>
        <w:t>ly satisfy patient requirements”.</w:t>
      </w:r>
    </w:p>
    <w:p w:rsidR="00AF0051" w:rsidRPr="00AF0051" w:rsidRDefault="00AF0051" w:rsidP="00A710AA">
      <w:pPr>
        <w:ind w:right="20"/>
        <w:rPr>
          <w:rFonts w:cs="Arial"/>
        </w:rPr>
      </w:pPr>
      <w:bookmarkStart w:id="0" w:name="_GoBack"/>
      <w:bookmarkEnd w:id="0"/>
    </w:p>
    <w:p w:rsidR="00492635" w:rsidRDefault="00860111" w:rsidP="00A710AA">
      <w:pPr>
        <w:ind w:right="20"/>
        <w:rPr>
          <w:rFonts w:cs="Arial"/>
          <w:b/>
          <w:i/>
        </w:rPr>
      </w:pPr>
      <w:r>
        <w:rPr>
          <w:rFonts w:cs="Arial"/>
          <w:b/>
          <w:i/>
        </w:rPr>
        <w:t>Community Pharmacies not providing the Needle Exchange Service</w:t>
      </w:r>
    </w:p>
    <w:p w:rsidR="00860111" w:rsidRPr="00860111" w:rsidRDefault="00860111" w:rsidP="00A710AA">
      <w:pPr>
        <w:ind w:right="20"/>
        <w:rPr>
          <w:rFonts w:cs="Arial"/>
        </w:rPr>
      </w:pPr>
      <w:r>
        <w:rPr>
          <w:rFonts w:cs="Arial"/>
        </w:rPr>
        <w:t xml:space="preserve">Of the 40 community pharmacy providers that returned their questionnaire just under half (47%) respondents </w:t>
      </w:r>
      <w:r w:rsidR="005029F3">
        <w:rPr>
          <w:rFonts w:cs="Arial"/>
        </w:rPr>
        <w:t>(figure five</w:t>
      </w:r>
      <w:r>
        <w:rPr>
          <w:rFonts w:cs="Arial"/>
        </w:rPr>
        <w:t xml:space="preserve">) indicated that patients had requested needle exchange services from the provider. </w:t>
      </w:r>
    </w:p>
    <w:p w:rsidR="00860111" w:rsidRDefault="00860111" w:rsidP="00A710AA">
      <w:pPr>
        <w:ind w:right="20"/>
        <w:rPr>
          <w:rFonts w:cs="Arial"/>
          <w:i/>
        </w:rPr>
      </w:pPr>
      <w:r>
        <w:rPr>
          <w:noProof/>
          <w:lang w:val="en-US"/>
        </w:rPr>
        <w:drawing>
          <wp:inline distT="0" distB="0" distL="0" distR="0" wp14:anchorId="52665FA2" wp14:editId="205DC0B1">
            <wp:extent cx="4629150" cy="20097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cs="Arial"/>
        </w:rPr>
        <w:t xml:space="preserve">  </w:t>
      </w:r>
      <w:r w:rsidR="005029F3">
        <w:rPr>
          <w:rFonts w:cs="Arial"/>
          <w:i/>
        </w:rPr>
        <w:t>Figure Five</w:t>
      </w:r>
      <w:r w:rsidRPr="00860111">
        <w:rPr>
          <w:rFonts w:cs="Arial"/>
          <w:i/>
        </w:rPr>
        <w:t>.</w:t>
      </w:r>
    </w:p>
    <w:p w:rsidR="00860111" w:rsidRDefault="00860111" w:rsidP="00A710AA">
      <w:pPr>
        <w:ind w:right="20"/>
        <w:rPr>
          <w:rFonts w:cs="Arial"/>
        </w:rPr>
      </w:pPr>
      <w:r>
        <w:rPr>
          <w:rFonts w:cs="Arial"/>
        </w:rPr>
        <w:t>Of the 19 community pharmacy providers that indicated patients were requesting this service from them, over half of these community pharmacies indicated that they had received queries from 6 or more patients</w:t>
      </w:r>
      <w:r w:rsidR="005029F3">
        <w:rPr>
          <w:rFonts w:cs="Arial"/>
        </w:rPr>
        <w:t xml:space="preserve"> (figure six</w:t>
      </w:r>
      <w:r>
        <w:rPr>
          <w:rFonts w:cs="Arial"/>
        </w:rPr>
        <w:t xml:space="preserve">). </w:t>
      </w:r>
    </w:p>
    <w:p w:rsidR="00860111" w:rsidRDefault="00860111" w:rsidP="00A710AA">
      <w:pPr>
        <w:ind w:right="20"/>
        <w:rPr>
          <w:rFonts w:cs="Arial"/>
          <w:i/>
        </w:rPr>
      </w:pPr>
      <w:r>
        <w:rPr>
          <w:noProof/>
          <w:lang w:val="en-US"/>
        </w:rPr>
        <w:lastRenderedPageBreak/>
        <w:drawing>
          <wp:inline distT="0" distB="0" distL="0" distR="0" wp14:anchorId="34A79216" wp14:editId="5068611F">
            <wp:extent cx="5486400" cy="3238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cs="Arial"/>
        </w:rPr>
        <w:t xml:space="preserve"> </w:t>
      </w:r>
      <w:r w:rsidR="005029F3">
        <w:rPr>
          <w:rFonts w:cs="Arial"/>
          <w:i/>
        </w:rPr>
        <w:t>Figure Six</w:t>
      </w:r>
      <w:r>
        <w:rPr>
          <w:rFonts w:cs="Arial"/>
          <w:i/>
        </w:rPr>
        <w:t>.</w:t>
      </w:r>
    </w:p>
    <w:p w:rsidR="00A7263A" w:rsidRDefault="00A7263A" w:rsidP="00A710AA">
      <w:pPr>
        <w:ind w:right="20"/>
        <w:rPr>
          <w:rFonts w:cs="Arial"/>
        </w:rPr>
      </w:pPr>
    </w:p>
    <w:p w:rsidR="00D97F1B" w:rsidRDefault="00D97F1B" w:rsidP="00A710AA">
      <w:pPr>
        <w:ind w:right="20"/>
        <w:rPr>
          <w:rFonts w:cs="Arial"/>
        </w:rPr>
      </w:pPr>
      <w:r>
        <w:rPr>
          <w:rFonts w:cs="Arial"/>
        </w:rPr>
        <w:t xml:space="preserve">However 70% of the community pharmacies receiving these queries knew where to signpost the patients to </w:t>
      </w:r>
      <w:r w:rsidR="005029F3">
        <w:rPr>
          <w:rFonts w:cs="Arial"/>
        </w:rPr>
        <w:t>(figure seven</w:t>
      </w:r>
      <w:r>
        <w:rPr>
          <w:rFonts w:cs="Arial"/>
        </w:rPr>
        <w:t>) with the majority (75%) being referred to ano</w:t>
      </w:r>
      <w:r w:rsidR="005029F3">
        <w:rPr>
          <w:rFonts w:cs="Arial"/>
        </w:rPr>
        <w:t>ther pharmacy (figure eight</w:t>
      </w:r>
      <w:r>
        <w:rPr>
          <w:rFonts w:cs="Arial"/>
        </w:rPr>
        <w:t>).</w:t>
      </w:r>
    </w:p>
    <w:p w:rsidR="00D97F1B" w:rsidRDefault="00D97F1B" w:rsidP="00A710AA">
      <w:pPr>
        <w:ind w:right="20"/>
        <w:rPr>
          <w:rFonts w:cs="Arial"/>
          <w:i/>
        </w:rPr>
      </w:pPr>
      <w:r>
        <w:rPr>
          <w:noProof/>
          <w:lang w:val="en-US"/>
        </w:rPr>
        <w:drawing>
          <wp:inline distT="0" distB="0" distL="0" distR="0" wp14:anchorId="5F34DF41" wp14:editId="7A0241DB">
            <wp:extent cx="54864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cs="Arial"/>
          <w:i/>
        </w:rPr>
        <w:t xml:space="preserve"> </w:t>
      </w:r>
      <w:r w:rsidR="005029F3">
        <w:rPr>
          <w:rFonts w:cs="Arial"/>
          <w:i/>
        </w:rPr>
        <w:t>Figure Seven</w:t>
      </w:r>
      <w:r>
        <w:rPr>
          <w:rFonts w:cs="Arial"/>
          <w:i/>
        </w:rPr>
        <w:t>.</w:t>
      </w:r>
    </w:p>
    <w:p w:rsidR="00D97F1B" w:rsidRPr="00D97F1B" w:rsidRDefault="00D97F1B" w:rsidP="00A710AA">
      <w:pPr>
        <w:ind w:right="20"/>
        <w:rPr>
          <w:rFonts w:cs="Arial"/>
          <w:i/>
        </w:rPr>
      </w:pPr>
      <w:r>
        <w:rPr>
          <w:noProof/>
          <w:lang w:val="en-US"/>
        </w:rPr>
        <w:lastRenderedPageBreak/>
        <w:drawing>
          <wp:inline distT="0" distB="0" distL="0" distR="0" wp14:anchorId="669644E9" wp14:editId="4F306BA2">
            <wp:extent cx="54864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cs="Arial"/>
          <w:i/>
        </w:rPr>
        <w:t xml:space="preserve"> </w:t>
      </w:r>
      <w:r w:rsidR="005029F3">
        <w:rPr>
          <w:rFonts w:cs="Arial"/>
          <w:i/>
        </w:rPr>
        <w:t>Figure Eight</w:t>
      </w:r>
      <w:r>
        <w:rPr>
          <w:rFonts w:cs="Arial"/>
          <w:i/>
        </w:rPr>
        <w:t>.</w:t>
      </w:r>
    </w:p>
    <w:p w:rsidR="00860111" w:rsidRDefault="005E0BDB" w:rsidP="00A710AA">
      <w:pPr>
        <w:ind w:right="20"/>
        <w:rPr>
          <w:rFonts w:cs="Arial"/>
        </w:rPr>
      </w:pPr>
      <w:r>
        <w:rPr>
          <w:rFonts w:cs="Arial"/>
        </w:rPr>
        <w:t>There was some free text for community pharmacies to respond. Nine of the pharmacies indicated that they would like to provide this service from the following areas:</w:t>
      </w:r>
    </w:p>
    <w:p w:rsidR="005E0BDB" w:rsidRDefault="005E0BDB" w:rsidP="005E0BDB">
      <w:pPr>
        <w:pStyle w:val="ListParagraph"/>
        <w:numPr>
          <w:ilvl w:val="0"/>
          <w:numId w:val="20"/>
        </w:numPr>
        <w:ind w:right="20"/>
        <w:rPr>
          <w:rFonts w:cs="Arial"/>
        </w:rPr>
      </w:pPr>
      <w:r>
        <w:rPr>
          <w:rFonts w:cs="Arial"/>
        </w:rPr>
        <w:t>Stort Valley = 1</w:t>
      </w:r>
    </w:p>
    <w:p w:rsidR="005E0BDB" w:rsidRDefault="005E0BDB" w:rsidP="005E0BDB">
      <w:pPr>
        <w:pStyle w:val="ListParagraph"/>
        <w:numPr>
          <w:ilvl w:val="0"/>
          <w:numId w:val="20"/>
        </w:numPr>
        <w:ind w:right="20"/>
        <w:rPr>
          <w:rFonts w:cs="Arial"/>
        </w:rPr>
      </w:pPr>
      <w:r>
        <w:rPr>
          <w:rFonts w:cs="Arial"/>
        </w:rPr>
        <w:t>Hertsmere = 1</w:t>
      </w:r>
    </w:p>
    <w:p w:rsidR="005E0BDB" w:rsidRDefault="005E0BDB" w:rsidP="005E0BDB">
      <w:pPr>
        <w:pStyle w:val="ListParagraph"/>
        <w:numPr>
          <w:ilvl w:val="0"/>
          <w:numId w:val="20"/>
        </w:numPr>
        <w:ind w:right="20"/>
        <w:rPr>
          <w:rFonts w:cs="Arial"/>
        </w:rPr>
      </w:pPr>
      <w:r>
        <w:rPr>
          <w:rFonts w:cs="Arial"/>
        </w:rPr>
        <w:t>Welwyn and Hatfield = 1</w:t>
      </w:r>
    </w:p>
    <w:p w:rsidR="005E0BDB" w:rsidRDefault="005E0BDB" w:rsidP="005E0BDB">
      <w:pPr>
        <w:pStyle w:val="ListParagraph"/>
        <w:numPr>
          <w:ilvl w:val="0"/>
          <w:numId w:val="20"/>
        </w:numPr>
        <w:ind w:right="20"/>
        <w:rPr>
          <w:rFonts w:cs="Arial"/>
        </w:rPr>
      </w:pPr>
      <w:r>
        <w:rPr>
          <w:rFonts w:cs="Arial"/>
        </w:rPr>
        <w:t>Dacorum = 1</w:t>
      </w:r>
    </w:p>
    <w:p w:rsidR="005E0BDB" w:rsidRDefault="005E0BDB" w:rsidP="005E0BDB">
      <w:pPr>
        <w:pStyle w:val="ListParagraph"/>
        <w:numPr>
          <w:ilvl w:val="0"/>
          <w:numId w:val="20"/>
        </w:numPr>
        <w:ind w:right="20"/>
        <w:rPr>
          <w:rFonts w:cs="Arial"/>
        </w:rPr>
      </w:pPr>
      <w:r>
        <w:rPr>
          <w:rFonts w:cs="Arial"/>
        </w:rPr>
        <w:t xml:space="preserve">North Herts = 2 </w:t>
      </w:r>
    </w:p>
    <w:p w:rsidR="005E0BDB" w:rsidRDefault="005E0BDB" w:rsidP="005E0BDB">
      <w:pPr>
        <w:pStyle w:val="ListParagraph"/>
        <w:numPr>
          <w:ilvl w:val="0"/>
          <w:numId w:val="20"/>
        </w:numPr>
        <w:ind w:right="20"/>
        <w:rPr>
          <w:rFonts w:cs="Arial"/>
        </w:rPr>
      </w:pPr>
      <w:r>
        <w:rPr>
          <w:rFonts w:cs="Arial"/>
        </w:rPr>
        <w:t>Stevenage = 3</w:t>
      </w:r>
    </w:p>
    <w:p w:rsidR="005E0BDB" w:rsidRDefault="005E0BDB" w:rsidP="00A710AA">
      <w:pPr>
        <w:ind w:right="20"/>
        <w:rPr>
          <w:rFonts w:cs="Arial"/>
        </w:rPr>
      </w:pPr>
      <w:r>
        <w:rPr>
          <w:rFonts w:cs="Arial"/>
        </w:rPr>
        <w:t xml:space="preserve">At least four respondents indicated that they were unaware of other service providers for needle exchange. </w:t>
      </w:r>
    </w:p>
    <w:p w:rsidR="00A2065F" w:rsidRDefault="00A2065F" w:rsidP="00A710AA">
      <w:pPr>
        <w:ind w:right="20"/>
        <w:rPr>
          <w:rFonts w:cs="Arial"/>
        </w:rPr>
      </w:pPr>
    </w:p>
    <w:p w:rsidR="00384523" w:rsidRDefault="00384523" w:rsidP="00384523">
      <w:pPr>
        <w:spacing w:after="0" w:line="240" w:lineRule="auto"/>
        <w:ind w:right="23"/>
        <w:jc w:val="right"/>
        <w:rPr>
          <w:rFonts w:cs="Arial"/>
        </w:rPr>
      </w:pPr>
      <w:r>
        <w:rPr>
          <w:rFonts w:cs="Arial"/>
        </w:rPr>
        <w:t>Helen Musson</w:t>
      </w:r>
      <w:r>
        <w:rPr>
          <w:rFonts w:cs="Arial"/>
        </w:rPr>
        <w:tab/>
      </w:r>
      <w:r>
        <w:rPr>
          <w:rFonts w:cs="Arial"/>
        </w:rPr>
        <w:tab/>
      </w:r>
    </w:p>
    <w:p w:rsidR="00384523" w:rsidRDefault="00384523" w:rsidP="00384523">
      <w:pPr>
        <w:spacing w:after="0" w:line="240" w:lineRule="auto"/>
        <w:ind w:right="23"/>
        <w:jc w:val="right"/>
        <w:rPr>
          <w:rFonts w:cs="Arial"/>
        </w:rPr>
      </w:pPr>
      <w:r>
        <w:rPr>
          <w:rFonts w:cs="Arial"/>
        </w:rPr>
        <w:t>Executive Officer</w:t>
      </w:r>
      <w:r>
        <w:rPr>
          <w:rFonts w:cs="Arial"/>
        </w:rPr>
        <w:tab/>
      </w:r>
    </w:p>
    <w:p w:rsidR="00384523" w:rsidRPr="00384523" w:rsidRDefault="00FA658E" w:rsidP="00384523">
      <w:pPr>
        <w:spacing w:after="0" w:line="240" w:lineRule="auto"/>
        <w:ind w:right="23"/>
        <w:jc w:val="right"/>
        <w:rPr>
          <w:rFonts w:cs="Arial"/>
        </w:rPr>
      </w:pPr>
      <w:r>
        <w:rPr>
          <w:rFonts w:cs="Arial"/>
        </w:rPr>
        <w:t>June 2015</w:t>
      </w:r>
      <w:r w:rsidR="00384523">
        <w:rPr>
          <w:rFonts w:cs="Arial"/>
        </w:rPr>
        <w:tab/>
      </w:r>
      <w:r w:rsidR="00384523">
        <w:rPr>
          <w:rFonts w:cs="Arial"/>
        </w:rPr>
        <w:tab/>
      </w:r>
    </w:p>
    <w:p w:rsidR="00A710AA" w:rsidRPr="00A710AA" w:rsidRDefault="00A710AA" w:rsidP="00A710AA">
      <w:pPr>
        <w:ind w:right="20"/>
        <w:rPr>
          <w:rFonts w:cs="Arial"/>
        </w:rPr>
      </w:pPr>
      <w:r w:rsidRPr="00A710AA">
        <w:rPr>
          <w:rFonts w:cs="Arial"/>
        </w:rPr>
        <w:t xml:space="preserve"> </w:t>
      </w:r>
    </w:p>
    <w:p w:rsidR="00A710AA" w:rsidRPr="00A710AA" w:rsidRDefault="00A710AA" w:rsidP="00A710AA">
      <w:pPr>
        <w:ind w:right="20"/>
        <w:rPr>
          <w:rFonts w:cs="Arial"/>
        </w:rPr>
      </w:pPr>
    </w:p>
    <w:p w:rsidR="00A710AA" w:rsidRPr="00A710AA" w:rsidRDefault="00A710AA" w:rsidP="00A710AA">
      <w:pPr>
        <w:ind w:right="20"/>
        <w:rPr>
          <w:rFonts w:cs="Arial"/>
        </w:rPr>
      </w:pPr>
    </w:p>
    <w:p w:rsidR="00A710AA" w:rsidRPr="00A710AA" w:rsidRDefault="00A710AA" w:rsidP="00345A5A">
      <w:pPr>
        <w:ind w:right="20"/>
        <w:rPr>
          <w:rFonts w:cs="Arial"/>
        </w:rPr>
      </w:pPr>
      <w:r w:rsidRPr="00A710AA">
        <w:rPr>
          <w:rFonts w:cs="Arial"/>
        </w:rPr>
        <w:t xml:space="preserve"> </w:t>
      </w:r>
    </w:p>
    <w:p w:rsidR="00A710AA" w:rsidRPr="00A710AA" w:rsidRDefault="00A710AA" w:rsidP="00A710AA">
      <w:pPr>
        <w:ind w:right="20"/>
        <w:rPr>
          <w:rFonts w:cs="Arial"/>
        </w:rPr>
      </w:pPr>
    </w:p>
    <w:p w:rsidR="00A710AA" w:rsidRPr="00A710AA" w:rsidRDefault="00A710AA" w:rsidP="00A710AA">
      <w:pPr>
        <w:ind w:right="20"/>
        <w:rPr>
          <w:rFonts w:cs="Arial"/>
        </w:rPr>
      </w:pPr>
      <w:r w:rsidRPr="00A710AA">
        <w:rPr>
          <w:rFonts w:cs="Arial"/>
        </w:rPr>
        <w:t xml:space="preserve"> </w:t>
      </w:r>
    </w:p>
    <w:p w:rsidR="00A710AA" w:rsidRPr="00A710AA" w:rsidRDefault="00A710AA" w:rsidP="00A710AA">
      <w:pPr>
        <w:ind w:right="20"/>
        <w:rPr>
          <w:rFonts w:cs="Arial"/>
        </w:rPr>
      </w:pPr>
    </w:p>
    <w:p w:rsidR="00C73D30" w:rsidRDefault="00C73D30" w:rsidP="006B4820">
      <w:pPr>
        <w:pStyle w:val="NoSpacing"/>
      </w:pPr>
    </w:p>
    <w:p w:rsidR="00093EF8" w:rsidRDefault="00093EF8" w:rsidP="00093EF8">
      <w:pPr>
        <w:pStyle w:val="NoSpacing"/>
        <w:jc w:val="right"/>
      </w:pPr>
      <w:r>
        <w:tab/>
      </w:r>
    </w:p>
    <w:p w:rsidR="006B4820" w:rsidRDefault="006B4820" w:rsidP="006B4820">
      <w:pPr>
        <w:pStyle w:val="NoSpacing"/>
      </w:pPr>
    </w:p>
    <w:p w:rsidR="006B4820" w:rsidRPr="006B4820" w:rsidRDefault="006B4820" w:rsidP="006B4820">
      <w:pPr>
        <w:pStyle w:val="NoSpacing"/>
      </w:pPr>
    </w:p>
    <w:sectPr w:rsidR="006B4820" w:rsidRPr="006B4820" w:rsidSect="000267A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0F" w:rsidRDefault="00A4550F" w:rsidP="007A0350">
      <w:pPr>
        <w:spacing w:after="0" w:line="240" w:lineRule="auto"/>
      </w:pPr>
      <w:r>
        <w:separator/>
      </w:r>
    </w:p>
  </w:endnote>
  <w:endnote w:type="continuationSeparator" w:id="0">
    <w:p w:rsidR="00A4550F" w:rsidRDefault="00A4550F" w:rsidP="007A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0F" w:rsidRDefault="00A4550F" w:rsidP="007A0350">
      <w:pPr>
        <w:spacing w:after="0" w:line="240" w:lineRule="auto"/>
      </w:pPr>
      <w:r>
        <w:separator/>
      </w:r>
    </w:p>
  </w:footnote>
  <w:footnote w:type="continuationSeparator" w:id="0">
    <w:p w:rsidR="00A4550F" w:rsidRDefault="00A4550F" w:rsidP="007A0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F2D"/>
    <w:multiLevelType w:val="hybridMultilevel"/>
    <w:tmpl w:val="BA643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20339"/>
    <w:multiLevelType w:val="hybridMultilevel"/>
    <w:tmpl w:val="BA7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771D0"/>
    <w:multiLevelType w:val="hybridMultilevel"/>
    <w:tmpl w:val="043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6160"/>
    <w:multiLevelType w:val="hybridMultilevel"/>
    <w:tmpl w:val="D054D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F30AA"/>
    <w:multiLevelType w:val="hybridMultilevel"/>
    <w:tmpl w:val="3BA4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20A46"/>
    <w:multiLevelType w:val="hybridMultilevel"/>
    <w:tmpl w:val="ACA2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E2133"/>
    <w:multiLevelType w:val="hybridMultilevel"/>
    <w:tmpl w:val="9F9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E0308"/>
    <w:multiLevelType w:val="hybridMultilevel"/>
    <w:tmpl w:val="E25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65678"/>
    <w:multiLevelType w:val="hybridMultilevel"/>
    <w:tmpl w:val="179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33A55"/>
    <w:multiLevelType w:val="hybridMultilevel"/>
    <w:tmpl w:val="2C6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577CC"/>
    <w:multiLevelType w:val="hybridMultilevel"/>
    <w:tmpl w:val="40684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45FE7"/>
    <w:multiLevelType w:val="hybridMultilevel"/>
    <w:tmpl w:val="FD347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3226A"/>
    <w:multiLevelType w:val="hybridMultilevel"/>
    <w:tmpl w:val="BAE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92999"/>
    <w:multiLevelType w:val="hybridMultilevel"/>
    <w:tmpl w:val="3318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B42A8"/>
    <w:multiLevelType w:val="hybridMultilevel"/>
    <w:tmpl w:val="AC52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B168C"/>
    <w:multiLevelType w:val="hybridMultilevel"/>
    <w:tmpl w:val="3E0A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6064BE"/>
    <w:multiLevelType w:val="hybridMultilevel"/>
    <w:tmpl w:val="1368F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0C00C0"/>
    <w:multiLevelType w:val="hybridMultilevel"/>
    <w:tmpl w:val="985EF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664D2"/>
    <w:multiLevelType w:val="hybridMultilevel"/>
    <w:tmpl w:val="31F8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C6816"/>
    <w:multiLevelType w:val="hybridMultilevel"/>
    <w:tmpl w:val="CBBC89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6"/>
  </w:num>
  <w:num w:numId="4">
    <w:abstractNumId w:val="7"/>
  </w:num>
  <w:num w:numId="5">
    <w:abstractNumId w:val="4"/>
  </w:num>
  <w:num w:numId="6">
    <w:abstractNumId w:val="11"/>
  </w:num>
  <w:num w:numId="7">
    <w:abstractNumId w:val="17"/>
  </w:num>
  <w:num w:numId="8">
    <w:abstractNumId w:val="10"/>
  </w:num>
  <w:num w:numId="9">
    <w:abstractNumId w:val="0"/>
  </w:num>
  <w:num w:numId="10">
    <w:abstractNumId w:val="3"/>
  </w:num>
  <w:num w:numId="11">
    <w:abstractNumId w:val="15"/>
  </w:num>
  <w:num w:numId="12">
    <w:abstractNumId w:val="16"/>
  </w:num>
  <w:num w:numId="13">
    <w:abstractNumId w:val="18"/>
  </w:num>
  <w:num w:numId="14">
    <w:abstractNumId w:val="14"/>
  </w:num>
  <w:num w:numId="15">
    <w:abstractNumId w:val="13"/>
  </w:num>
  <w:num w:numId="16">
    <w:abstractNumId w:val="12"/>
  </w:num>
  <w:num w:numId="17">
    <w:abstractNumId w:val="9"/>
  </w:num>
  <w:num w:numId="18">
    <w:abstractNumId w:val="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0F"/>
    <w:rsid w:val="000267A5"/>
    <w:rsid w:val="00093EF8"/>
    <w:rsid w:val="000E2A8A"/>
    <w:rsid w:val="001374E9"/>
    <w:rsid w:val="00182292"/>
    <w:rsid w:val="00295F22"/>
    <w:rsid w:val="002C48C7"/>
    <w:rsid w:val="00345A5A"/>
    <w:rsid w:val="00384523"/>
    <w:rsid w:val="004373F1"/>
    <w:rsid w:val="00456D5F"/>
    <w:rsid w:val="00492635"/>
    <w:rsid w:val="005029F3"/>
    <w:rsid w:val="005860F8"/>
    <w:rsid w:val="005E0BDB"/>
    <w:rsid w:val="005E26D1"/>
    <w:rsid w:val="006661D5"/>
    <w:rsid w:val="006B4820"/>
    <w:rsid w:val="007103B9"/>
    <w:rsid w:val="007168C7"/>
    <w:rsid w:val="007A0350"/>
    <w:rsid w:val="00860111"/>
    <w:rsid w:val="008758DC"/>
    <w:rsid w:val="00954136"/>
    <w:rsid w:val="00A2065F"/>
    <w:rsid w:val="00A4550F"/>
    <w:rsid w:val="00A710AA"/>
    <w:rsid w:val="00A7263A"/>
    <w:rsid w:val="00A749CE"/>
    <w:rsid w:val="00AA6A95"/>
    <w:rsid w:val="00AE4B32"/>
    <w:rsid w:val="00AF0051"/>
    <w:rsid w:val="00B217F9"/>
    <w:rsid w:val="00B555F0"/>
    <w:rsid w:val="00B81721"/>
    <w:rsid w:val="00C62D53"/>
    <w:rsid w:val="00C73D30"/>
    <w:rsid w:val="00D023A5"/>
    <w:rsid w:val="00D438EA"/>
    <w:rsid w:val="00D97F1B"/>
    <w:rsid w:val="00E12F8D"/>
    <w:rsid w:val="00EF395C"/>
    <w:rsid w:val="00F32066"/>
    <w:rsid w:val="00F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5C701-1212-47FF-B02C-74DDDF33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5C"/>
    <w:rPr>
      <w:rFonts w:ascii="Arial" w:hAnsi="Arial"/>
    </w:rPr>
  </w:style>
  <w:style w:type="paragraph" w:styleId="Heading1">
    <w:name w:val="heading 1"/>
    <w:basedOn w:val="Normal"/>
    <w:next w:val="Normal"/>
    <w:link w:val="Heading1Char"/>
    <w:uiPriority w:val="9"/>
    <w:qFormat/>
    <w:rsid w:val="00EF395C"/>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EF395C"/>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350"/>
  </w:style>
  <w:style w:type="paragraph" w:styleId="Footer">
    <w:name w:val="footer"/>
    <w:basedOn w:val="Normal"/>
    <w:link w:val="FooterChar"/>
    <w:uiPriority w:val="99"/>
    <w:unhideWhenUsed/>
    <w:rsid w:val="007A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350"/>
  </w:style>
  <w:style w:type="paragraph" w:styleId="BalloonText">
    <w:name w:val="Balloon Text"/>
    <w:basedOn w:val="Normal"/>
    <w:link w:val="BalloonTextChar"/>
    <w:uiPriority w:val="99"/>
    <w:semiHidden/>
    <w:unhideWhenUsed/>
    <w:rsid w:val="007A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50"/>
    <w:rPr>
      <w:rFonts w:ascii="Tahoma" w:hAnsi="Tahoma" w:cs="Tahoma"/>
      <w:sz w:val="16"/>
      <w:szCs w:val="16"/>
    </w:rPr>
  </w:style>
  <w:style w:type="character" w:customStyle="1" w:styleId="Heading1Char">
    <w:name w:val="Heading 1 Char"/>
    <w:basedOn w:val="DefaultParagraphFont"/>
    <w:link w:val="Heading1"/>
    <w:uiPriority w:val="9"/>
    <w:rsid w:val="00EF395C"/>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F395C"/>
    <w:rPr>
      <w:rFonts w:ascii="Arial" w:eastAsiaTheme="majorEastAsia" w:hAnsi="Arial" w:cstheme="majorBidi"/>
      <w:b/>
      <w:bCs/>
      <w:color w:val="000000" w:themeColor="text1"/>
      <w:sz w:val="28"/>
      <w:szCs w:val="26"/>
    </w:rPr>
  </w:style>
  <w:style w:type="paragraph" w:styleId="NoSpacing">
    <w:name w:val="No Spacing"/>
    <w:uiPriority w:val="1"/>
    <w:qFormat/>
    <w:rsid w:val="00EF395C"/>
    <w:pPr>
      <w:spacing w:after="0" w:line="240" w:lineRule="auto"/>
    </w:pPr>
    <w:rPr>
      <w:rFonts w:ascii="Arial" w:hAnsi="Arial"/>
    </w:rPr>
  </w:style>
  <w:style w:type="paragraph" w:customStyle="1" w:styleId="Style1">
    <w:name w:val="Style1"/>
    <w:basedOn w:val="Normal"/>
    <w:link w:val="Style1Char"/>
    <w:rsid w:val="00AA6A95"/>
    <w:rPr>
      <w:rFonts w:cs="Arial"/>
    </w:rPr>
  </w:style>
  <w:style w:type="character" w:customStyle="1" w:styleId="Style1Char">
    <w:name w:val="Style1 Char"/>
    <w:basedOn w:val="DefaultParagraphFont"/>
    <w:link w:val="Style1"/>
    <w:rsid w:val="00AA6A95"/>
    <w:rPr>
      <w:rFonts w:ascii="Arial" w:hAnsi="Arial" w:cs="Arial"/>
    </w:rPr>
  </w:style>
  <w:style w:type="paragraph" w:styleId="ListParagraph">
    <w:name w:val="List Paragraph"/>
    <w:basedOn w:val="Normal"/>
    <w:uiPriority w:val="34"/>
    <w:qFormat/>
    <w:rsid w:val="00093EF8"/>
    <w:pPr>
      <w:ind w:left="720"/>
      <w:contextualSpacing/>
    </w:pPr>
  </w:style>
  <w:style w:type="paragraph" w:customStyle="1" w:styleId="Default">
    <w:name w:val="Default"/>
    <w:rsid w:val="005E26D1"/>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5E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89692">
      <w:bodyDiv w:val="1"/>
      <w:marLeft w:val="0"/>
      <w:marRight w:val="0"/>
      <w:marTop w:val="0"/>
      <w:marBottom w:val="0"/>
      <w:divBdr>
        <w:top w:val="none" w:sz="0" w:space="0" w:color="auto"/>
        <w:left w:val="none" w:sz="0" w:space="0" w:color="auto"/>
        <w:bottom w:val="none" w:sz="0" w:space="0" w:color="auto"/>
        <w:right w:val="none" w:sz="0" w:space="0" w:color="auto"/>
      </w:divBdr>
    </w:div>
    <w:div w:id="499466786">
      <w:bodyDiv w:val="1"/>
      <w:marLeft w:val="0"/>
      <w:marRight w:val="0"/>
      <w:marTop w:val="0"/>
      <w:marBottom w:val="0"/>
      <w:divBdr>
        <w:top w:val="none" w:sz="0" w:space="0" w:color="auto"/>
        <w:left w:val="none" w:sz="0" w:space="0" w:color="auto"/>
        <w:bottom w:val="none" w:sz="0" w:space="0" w:color="auto"/>
        <w:right w:val="none" w:sz="0" w:space="0" w:color="auto"/>
      </w:divBdr>
    </w:div>
    <w:div w:id="685910899">
      <w:bodyDiv w:val="1"/>
      <w:marLeft w:val="0"/>
      <w:marRight w:val="0"/>
      <w:marTop w:val="0"/>
      <w:marBottom w:val="0"/>
      <w:divBdr>
        <w:top w:val="none" w:sz="0" w:space="0" w:color="auto"/>
        <w:left w:val="none" w:sz="0" w:space="0" w:color="auto"/>
        <w:bottom w:val="none" w:sz="0" w:space="0" w:color="auto"/>
        <w:right w:val="none" w:sz="0" w:space="0" w:color="auto"/>
      </w:divBdr>
    </w:div>
    <w:div w:id="1429738741">
      <w:bodyDiv w:val="1"/>
      <w:marLeft w:val="0"/>
      <w:marRight w:val="0"/>
      <w:marTop w:val="0"/>
      <w:marBottom w:val="0"/>
      <w:divBdr>
        <w:top w:val="none" w:sz="0" w:space="0" w:color="auto"/>
        <w:left w:val="none" w:sz="0" w:space="0" w:color="auto"/>
        <w:bottom w:val="none" w:sz="0" w:space="0" w:color="auto"/>
        <w:right w:val="none" w:sz="0" w:space="0" w:color="auto"/>
      </w:divBdr>
    </w:div>
    <w:div w:id="1469131488">
      <w:bodyDiv w:val="1"/>
      <w:marLeft w:val="0"/>
      <w:marRight w:val="0"/>
      <w:marTop w:val="0"/>
      <w:marBottom w:val="0"/>
      <w:divBdr>
        <w:top w:val="none" w:sz="0" w:space="0" w:color="auto"/>
        <w:left w:val="none" w:sz="0" w:space="0" w:color="auto"/>
        <w:bottom w:val="none" w:sz="0" w:space="0" w:color="auto"/>
        <w:right w:val="none" w:sz="0" w:space="0" w:color="auto"/>
      </w:divBdr>
    </w:div>
    <w:div w:id="1941140849">
      <w:bodyDiv w:val="1"/>
      <w:marLeft w:val="0"/>
      <w:marRight w:val="0"/>
      <w:marTop w:val="0"/>
      <w:marBottom w:val="0"/>
      <w:divBdr>
        <w:top w:val="none" w:sz="0" w:space="0" w:color="auto"/>
        <w:left w:val="none" w:sz="0" w:space="0" w:color="auto"/>
        <w:bottom w:val="none" w:sz="0" w:space="0" w:color="auto"/>
        <w:right w:val="none" w:sz="0" w:space="0" w:color="auto"/>
      </w:divBdr>
    </w:div>
    <w:div w:id="20504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slpc.org.uk/public-health/commissioned-services/drugs-alcohol-spectrum-cri/"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Lpc-server\herts%20data\HERTS%20Users\Helen.Musson\Documents\Styl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pc-server\herts%20data\HERTS%20Shared\Pharmacy%20Services\Public%20Health,%20HCC\Needle%20Exchange\Data%20Collection%20Results%20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pc-server\herts%20data\HERTS%20Shared\Pharmacy%20Services\Public%20Health,%20HCC\Needle%20Exchange\Data%20Collection%20Results%20Summar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pc-server\herts%20data\HERTS%20Shared\Pharmacy%20Services\Public%20Health,%20HCC\Needle%20Exchange\Data%20Collection%20Results%20Summa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lpc-server\herts%20data\HERTS%20Shared\Pharmacy%20Services\Public%20Health,%20HCC\Needle%20Exchange\Data%20Collection%20Results%20Summary.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oleObject" Target="file:///\\lpc-server\herts%20data\HERTS%20Shared\Pharmacy%20Services\Public%20Health,%20HCC\Needle%20Exchange\Data%20Collection%20Results%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a:t>
            </a:r>
            <a:r>
              <a:rPr lang="en-US" baseline="0"/>
              <a:t> location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'Question 7'!$G$9:$G$18</c:f>
              <c:strCache>
                <c:ptCount val="10"/>
                <c:pt idx="0">
                  <c:v>Dacorum</c:v>
                </c:pt>
                <c:pt idx="1">
                  <c:v>Hertsmere</c:v>
                </c:pt>
                <c:pt idx="2">
                  <c:v>Lower Lea Valley</c:v>
                </c:pt>
                <c:pt idx="3">
                  <c:v>North Herts</c:v>
                </c:pt>
                <c:pt idx="4">
                  <c:v>St Albans and Harpenden</c:v>
                </c:pt>
                <c:pt idx="5">
                  <c:v>Stevenage</c:v>
                </c:pt>
                <c:pt idx="6">
                  <c:v>Stort Valleys</c:v>
                </c:pt>
                <c:pt idx="7">
                  <c:v>Unknown</c:v>
                </c:pt>
                <c:pt idx="8">
                  <c:v>Watford and Three Rivers</c:v>
                </c:pt>
                <c:pt idx="9">
                  <c:v>Welwyn and Hatfield</c:v>
                </c:pt>
              </c:strCache>
            </c:strRef>
          </c:cat>
          <c:val>
            <c:numRef>
              <c:f>'Question 7'!$H$9:$H$18</c:f>
              <c:numCache>
                <c:formatCode>General</c:formatCode>
                <c:ptCount val="10"/>
                <c:pt idx="0">
                  <c:v>7</c:v>
                </c:pt>
                <c:pt idx="1">
                  <c:v>4</c:v>
                </c:pt>
                <c:pt idx="2">
                  <c:v>3</c:v>
                </c:pt>
                <c:pt idx="3">
                  <c:v>3</c:v>
                </c:pt>
                <c:pt idx="4">
                  <c:v>2</c:v>
                </c:pt>
                <c:pt idx="5">
                  <c:v>10</c:v>
                </c:pt>
                <c:pt idx="6">
                  <c:v>2</c:v>
                </c:pt>
                <c:pt idx="7">
                  <c:v>7</c:v>
                </c:pt>
                <c:pt idx="8">
                  <c:v>5</c:v>
                </c:pt>
                <c:pt idx="9">
                  <c:v>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a:t>
            </a:r>
            <a:r>
              <a:rPr lang="en-US" baseline="0"/>
              <a:t> you claim for services on a monthly basis?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[1]Sheet1!$C$19:$C$21</c:f>
              <c:strCache>
                <c:ptCount val="3"/>
                <c:pt idx="0">
                  <c:v>Yes</c:v>
                </c:pt>
                <c:pt idx="1">
                  <c:v>No</c:v>
                </c:pt>
                <c:pt idx="2">
                  <c:v>Comment </c:v>
                </c:pt>
              </c:strCache>
            </c:strRef>
          </c:cat>
          <c:val>
            <c:numRef>
              <c:f>[1]Sheet1!$D$19:$D$21</c:f>
              <c:numCache>
                <c:formatCode>General</c:formatCode>
                <c:ptCount val="3"/>
                <c:pt idx="0">
                  <c:v>6</c:v>
                </c:pt>
                <c:pt idx="1">
                  <c:v>1</c:v>
                </c:pt>
                <c:pt idx="2">
                  <c:v>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you know your CRi Spectrum local hub details?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'Question 6'!$A$55:$A$56</c:f>
              <c:strCache>
                <c:ptCount val="2"/>
                <c:pt idx="0">
                  <c:v>Yes</c:v>
                </c:pt>
                <c:pt idx="1">
                  <c:v>No</c:v>
                </c:pt>
              </c:strCache>
            </c:strRef>
          </c:cat>
          <c:val>
            <c:numRef>
              <c:f>'Question 6'!$B$55:$B$56</c:f>
              <c:numCache>
                <c:formatCode>General</c:formatCode>
                <c:ptCount val="2"/>
                <c:pt idx="0">
                  <c:v>7</c:v>
                </c:pt>
                <c:pt idx="1">
                  <c:v>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a:t>
            </a:r>
            <a:r>
              <a:rPr lang="en-US" baseline="0"/>
              <a:t> often have you signposted a patient to CRi Spectrum local hub?</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'Question 6'!$A$67:$A$69</c:f>
              <c:strCache>
                <c:ptCount val="3"/>
                <c:pt idx="0">
                  <c:v>1-3 times a month</c:v>
                </c:pt>
                <c:pt idx="1">
                  <c:v>Never</c:v>
                </c:pt>
                <c:pt idx="2">
                  <c:v>Once or twice</c:v>
                </c:pt>
              </c:strCache>
            </c:strRef>
          </c:cat>
          <c:val>
            <c:numRef>
              <c:f>'Question 6'!$B$67:$B$69</c:f>
              <c:numCache>
                <c:formatCode>General</c:formatCode>
                <c:ptCount val="3"/>
                <c:pt idx="0">
                  <c:v>3</c:v>
                </c:pt>
                <c:pt idx="1">
                  <c:v>3</c:v>
                </c:pt>
                <c:pt idx="2">
                  <c:v>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Have any patients requested needle exchange services from your pharmacy?</a:t>
            </a:r>
          </a:p>
        </c:rich>
      </c:tx>
      <c:layout/>
      <c:overlay val="0"/>
      <c:spPr>
        <a:noFill/>
        <a:ln w="25400">
          <a:noFill/>
        </a:ln>
      </c:spPr>
    </c:title>
    <c:autoTitleDeleted val="0"/>
    <c:plotArea>
      <c:layout/>
      <c:pieChart>
        <c:varyColors val="1"/>
        <c:ser>
          <c:idx val="0"/>
          <c:order val="0"/>
          <c:dPt>
            <c:idx val="0"/>
            <c:bubble3D val="0"/>
          </c:dPt>
          <c:dPt>
            <c:idx val="1"/>
            <c:bubble3D val="0"/>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'Question 2'!$A$4:$A$5</c:f>
              <c:strCache>
                <c:ptCount val="2"/>
                <c:pt idx="0">
                  <c:v>Yes</c:v>
                </c:pt>
                <c:pt idx="1">
                  <c:v>No</c:v>
                </c:pt>
              </c:strCache>
            </c:strRef>
          </c:cat>
          <c:val>
            <c:numRef>
              <c:f>'Question 2'!$C$4:$C$5</c:f>
              <c:numCache>
                <c:formatCode>0.0%</c:formatCode>
                <c:ptCount val="2"/>
                <c:pt idx="0">
                  <c:v>0.47499999999999998</c:v>
                </c:pt>
                <c:pt idx="1">
                  <c:v>0.52500000000000002</c:v>
                </c:pt>
              </c:numCache>
            </c:numRef>
          </c:val>
        </c:ser>
        <c:dLbls>
          <c:showLegendKey val="0"/>
          <c:showVal val="0"/>
          <c:showCatName val="1"/>
          <c:showSerName val="0"/>
          <c:showPercent val="1"/>
          <c:showBubbleSize val="0"/>
          <c:showLeaderLines val="1"/>
        </c:dLbls>
        <c:firstSliceAng val="0"/>
      </c:pieChart>
      <c:spPr>
        <a:solidFill>
          <a:srgbClr val="EEEEEE"/>
        </a:solidFill>
        <a:ln w="25400">
          <a:noFill/>
        </a:ln>
      </c:spPr>
    </c:plotArea>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many patients have requested needle exchange services from your pharmacy?</a:t>
            </a:r>
          </a:p>
        </c:rich>
      </c:tx>
      <c:layout/>
      <c:overlay val="0"/>
      <c:spPr>
        <a:noFill/>
        <a:ln w="25400">
          <a:noFill/>
        </a:ln>
      </c:spPr>
    </c:title>
    <c:autoTitleDeleted val="0"/>
    <c:plotArea>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'Question 3'!$A$4:$A$6</c:f>
              <c:strCache>
                <c:ptCount val="3"/>
                <c:pt idx="0">
                  <c:v>1-5</c:v>
                </c:pt>
                <c:pt idx="1">
                  <c:v>6-10</c:v>
                </c:pt>
                <c:pt idx="2">
                  <c:v>10 or more</c:v>
                </c:pt>
              </c:strCache>
            </c:strRef>
          </c:cat>
          <c:val>
            <c:numRef>
              <c:f>'Question 3'!$C$4:$C$6</c:f>
              <c:numCache>
                <c:formatCode>0.0%</c:formatCode>
                <c:ptCount val="3"/>
                <c:pt idx="0">
                  <c:v>0.42100000000000004</c:v>
                </c:pt>
                <c:pt idx="1">
                  <c:v>0.316</c:v>
                </c:pt>
                <c:pt idx="2">
                  <c:v>0.26300000000000001</c:v>
                </c:pt>
              </c:numCache>
            </c:numRef>
          </c:val>
        </c:ser>
        <c:dLbls>
          <c:showLegendKey val="0"/>
          <c:showVal val="0"/>
          <c:showCatName val="1"/>
          <c:showSerName val="0"/>
          <c:showPercent val="1"/>
          <c:showBubbleSize val="0"/>
          <c:showLeaderLines val="1"/>
        </c:dLbls>
        <c:firstSliceAng val="0"/>
      </c:pieChart>
      <c:spPr>
        <a:solidFill>
          <a:srgbClr val="EEEEEE"/>
        </a:solidFill>
        <a:ln w="25400">
          <a:noFill/>
        </a:ln>
      </c:spPr>
    </c:plotArea>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Are you aware of where you can signpost patients that require needle exchange services?</a:t>
            </a:r>
          </a:p>
        </c:rich>
      </c:tx>
      <c:layout/>
      <c:overlay val="0"/>
      <c:spPr>
        <a:noFill/>
        <a:ln w="25400">
          <a:noFill/>
        </a:ln>
      </c:spPr>
    </c:title>
    <c:autoTitleDeleted val="0"/>
    <c:plotArea>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'Question 4'!$A$4:$A$5</c:f>
              <c:strCache>
                <c:ptCount val="2"/>
                <c:pt idx="0">
                  <c:v>Yes</c:v>
                </c:pt>
                <c:pt idx="1">
                  <c:v>No</c:v>
                </c:pt>
              </c:strCache>
            </c:strRef>
          </c:cat>
          <c:val>
            <c:numRef>
              <c:f>'Question 4'!$C$4:$C$5</c:f>
              <c:numCache>
                <c:formatCode>0.0%</c:formatCode>
                <c:ptCount val="2"/>
                <c:pt idx="0">
                  <c:v>0.7</c:v>
                </c:pt>
                <c:pt idx="1">
                  <c:v>0.3</c:v>
                </c:pt>
              </c:numCache>
            </c:numRef>
          </c:val>
        </c:ser>
        <c:dLbls>
          <c:showLegendKey val="0"/>
          <c:showVal val="0"/>
          <c:showCatName val="1"/>
          <c:showSerName val="0"/>
          <c:showPercent val="1"/>
          <c:showBubbleSize val="0"/>
          <c:showLeaderLines val="1"/>
        </c:dLbls>
        <c:firstSliceAng val="0"/>
      </c:pieChart>
      <c:spPr>
        <a:solidFill>
          <a:srgbClr val="EEEEEE"/>
        </a:solidFill>
        <a:ln w="25400">
          <a:noFill/>
        </a:ln>
      </c:spPr>
    </c:plotArea>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Where would you signpost these patients?</a:t>
            </a:r>
          </a:p>
        </c:rich>
      </c:tx>
      <c:layout/>
      <c:overlay val="0"/>
      <c:spPr>
        <a:noFill/>
        <a:ln w="25400">
          <a:noFill/>
        </a:ln>
      </c:spPr>
    </c:title>
    <c:autoTitleDeleted val="0"/>
    <c:plotArea>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'Question 5'!$A$4:$A$6</c:f>
              <c:strCache>
                <c:ptCount val="3"/>
                <c:pt idx="0">
                  <c:v>Another pharmacy</c:v>
                </c:pt>
                <c:pt idx="1">
                  <c:v>CRi Spectrum hub</c:v>
                </c:pt>
                <c:pt idx="2">
                  <c:v>Other (please specify)</c:v>
                </c:pt>
              </c:strCache>
            </c:strRef>
          </c:cat>
          <c:val>
            <c:numRef>
              <c:f>'Question 5'!$C$4:$C$6</c:f>
              <c:numCache>
                <c:formatCode>0.0%</c:formatCode>
                <c:ptCount val="3"/>
                <c:pt idx="0">
                  <c:v>0.75</c:v>
                </c:pt>
                <c:pt idx="1">
                  <c:v>0.214</c:v>
                </c:pt>
                <c:pt idx="2">
                  <c:v>3.6000000000000004E-2</c:v>
                </c:pt>
              </c:numCache>
            </c:numRef>
          </c:val>
        </c:ser>
        <c:dLbls>
          <c:showLegendKey val="0"/>
          <c:showVal val="0"/>
          <c:showCatName val="1"/>
          <c:showSerName val="0"/>
          <c:showPercent val="1"/>
          <c:showBubbleSize val="0"/>
          <c:showLeaderLines val="1"/>
        </c:dLbls>
        <c:firstSliceAng val="0"/>
      </c:pieChart>
      <c:spPr>
        <a:solidFill>
          <a:srgbClr val="EEEEEE"/>
        </a:solidFill>
        <a:ln w="25400">
          <a:noFill/>
        </a:ln>
      </c:spPr>
    </c:plotArea>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5024-B8AD-4B24-BB42-0731E17D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52</TotalTime>
  <Pages>5</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Licensing Herts LPC</cp:lastModifiedBy>
  <cp:revision>10</cp:revision>
  <dcterms:created xsi:type="dcterms:W3CDTF">2015-06-22T10:52:00Z</dcterms:created>
  <dcterms:modified xsi:type="dcterms:W3CDTF">2015-06-22T12:22:00Z</dcterms:modified>
</cp:coreProperties>
</file>